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USSTitle"/>
      </w:pPr>
      <w:r>
        <w:t>Engagement Letter</w:t>
      </w:r>
    </w:p>
    <w:p>
      <w:pPr>
        <w:pStyle w:val="USSSubtitle"/>
      </w:pPr>
      <w:r>
        <w:t xml:space="preserve">for </w:t>
      </w:r>
      <w:sdt>
        <w:sdtPr>
          <w:alias w:val="Company name"/>
          <w:tag w:val="COMPANY_NAME"/>
          <w:id w:val="700000"/>
          <w:color w:val="2F75B5"/>
          <w:dataBinding w:prefixMappings="xmlns:ns0='urn:uss:client-template'" w:xpath="/ns0:client[1]/ns0:company[1]" w:storeItemID="{DDEA5B46-24AD-4656-AE85-7295C9384617}"/>
          <w:text/>
        </w:sdtPr>
        <w:sdtContent>
          <w:r>
            <w:t>Beyond Space Capital Inc</w:t>
          </w:r>
        </w:sdtContent>
      </w:sdt>
    </w:p>
    <w:tbl>
      <w:tblPr>
        <w:tblW w:type="dxa" w:w="9360"/>
        <w:tblLayout w:type="fixed"/>
        <w:tblLook w:firstColumn="1" w:firstRow="1" w:lastColumn="0" w:lastRow="0" w:noHBand="0" w:noVBand="1" w:val="04A0"/>
        <w:tblInd w:w="120" w:type="dxa"/>
        <w:tblBorders>
          <w:top w:val="nil"/>
          <w:start w:val="nil"/>
          <w:bottom w:val="nil"/>
          <w:end w:val="nil"/>
          <w:insideH w:val="nil"/>
          <w:insideV w:val="nil"/>
        </w:tblBorders>
      </w:tblPr>
      <w:tblGrid>
        <w:gridCol w:w="7000"/>
        <w:gridCol w:w="2360"/>
      </w:tblGrid>
      <w:tr>
        <w:tc>
          <w:tcPr>
            <w:tcW w:type="dxa" w:w="7000"/>
            <w:shd w:val="clear" w:color="auto" w:fill="EAF1F7"/>
            <w:tcMar>
              <w:top w:w="125" w:type="dxa"/>
              <w:start w:w="165" w:type="dxa"/>
              <w:bottom w:w="125" w:type="dxa"/>
              <w:end w:w="165" w:type="dxa"/>
            </w:tcMar>
            <w:vAlign w:val="top"/>
            <w:tcBorders>
              <w:top w:val="single" w:sz="12" w:space="0" w:color="145DA0"/>
              <w:bottom w:val="single" w:sz="4" w:space="0" w:color="D7DEE7"/>
            </w:tcBorders>
          </w:tcPr>
          <w:p>
            <w:pPr>
              <w:pStyle w:val="USSPanelCompany"/>
            </w:pPr>
            <w:sdt>
              <w:sdtPr>
                <w:alias w:val="Company name"/>
                <w:tag w:val="COMPANY_NAME"/>
                <w:id w:val="700001"/>
                <w:color w:val="2F75B5"/>
                <w:dataBinding w:prefixMappings="xmlns:ns0='urn:uss:client-template'" w:xpath="/ns0:client[1]/ns0:company[1]" w:storeItemID="{DDEA5B46-24AD-4656-AE85-7295C9384617}"/>
                <w:text/>
              </w:sdtPr>
              <w:sdtContent>
                <w:r>
                  <w:t>Beyond Space Capital Inc</w:t>
                </w:r>
              </w:sdtContent>
            </w:sdt>
          </w:p>
          <w:p>
            <w:pPr>
              <w:pStyle w:val="USSPanel"/>
            </w:pPr>
            <w:r>
              <w:t xml:space="preserve">Attn: </w:t>
            </w:r>
            <w:sdt>
              <w:sdtPr>
                <w:alias w:val="First name"/>
                <w:tag w:val="FIRST_NAME"/>
                <w:id w:val="700009"/>
                <w:color w:val="2F75B5"/>
                <w:dataBinding w:prefixMappings="xmlns:ns0='urn:uss:client-template'" w:xpath="/ns0:client[1]/ns0:firstName[1]" w:storeItemID="{DDEA5B46-24AD-4656-AE85-7295C9384617}"/>
                <w:text/>
              </w:sdtPr>
              <w:sdtContent>
                <w:r>
                  <w:t>Michael</w:t>
                </w:r>
              </w:sdtContent>
            </w:sdt>
            <w:r>
              <w:t xml:space="preserve"> </w:t>
            </w:r>
            <w:sdt>
              <w:sdtPr>
                <w:alias w:val="Last name"/>
                <w:tag w:val="LAST_NAME"/>
                <w:id w:val="700011"/>
                <w:color w:val="2F75B5"/>
                <w:dataBinding w:prefixMappings="xmlns:ns0='urn:uss:client-template'" w:xpath="/ns0:client[1]/ns0:lastName[1]" w:storeItemID="{DDEA5B46-24AD-4656-AE85-7295C9384617}"/>
                <w:text/>
              </w:sdtPr>
              <w:sdtContent>
                <w:r>
                  <w:t>John</w:t>
                </w:r>
              </w:sdtContent>
            </w:sdt>
          </w:p>
          <w:p>
            <w:pPr>
              <w:pStyle w:val="USSPanel"/>
            </w:pPr>
            <w:sdt>
              <w:sdtPr>
                <w:alias w:val="Care-of line"/>
                <w:tag w:val="CARE_OF_LINE"/>
                <w:id w:val="700003"/>
                <w:color w:val="2F75B5"/>
                <w:dataBinding w:prefixMappings="xmlns:ns0='urn:uss:client-template'" w:xpath="/ns0:client[1]/ns0:careOfLine[1]" w:storeItemID="{DDEA5B46-24AD-4656-AE85-7295C9384617}"/>
                <w:text/>
              </w:sdtPr>
              <w:sdtContent>
                <w:r>
                  <w:t>c/o Buhler Duggal &amp; Henry LLP</w:t>
                </w:r>
              </w:sdtContent>
            </w:sdt>
          </w:p>
          <w:p>
            <w:pPr>
              <w:pStyle w:val="USSPanel"/>
            </w:pPr>
            <w:sdt>
              <w:sdtPr>
                <w:alias w:val="Street address"/>
                <w:tag w:val="STREET_LINE"/>
                <w:id w:val="700004"/>
                <w:color w:val="2F75B5"/>
                <w:dataBinding w:prefixMappings="xmlns:ns0='urn:uss:client-template'" w:xpath="/ns0:client[1]/ns0:streetLine[1]" w:storeItemID="{DDEA5B46-24AD-4656-AE85-7295C9384617}"/>
                <w:text/>
              </w:sdtPr>
              <w:sdtContent>
                <w:r>
                  <w:t>80 Eighth Avenue, Suite 901</w:t>
                </w:r>
              </w:sdtContent>
            </w:sdt>
          </w:p>
          <w:p>
            <w:pPr>
              <w:pStyle w:val="USSPanel"/>
            </w:pPr>
            <w:sdt>
              <w:sdtPr>
                <w:alias w:val="City, state and ZIP"/>
                <w:tag w:val="CITY_STATE_ZIP"/>
                <w:id w:val="700005"/>
                <w:color w:val="2F75B5"/>
                <w:dataBinding w:prefixMappings="xmlns:ns0='urn:uss:client-template'" w:xpath="/ns0:client[1]/ns0:cityStateZip[1]" w:storeItemID="{DDEA5B46-24AD-4656-AE85-7295C9384617}"/>
                <w:text/>
              </w:sdtPr>
              <w:sdtContent>
                <w:r>
                  <w:t>New York, NY 10011</w:t>
                </w:r>
              </w:sdtContent>
            </w:sdt>
          </w:p>
          <w:p>
            <w:pPr>
              <w:pStyle w:val="USSPanel"/>
            </w:pPr>
            <w:r>
              <w:t xml:space="preserve">Via E-Mail:  </w:t>
            </w:r>
            <w:sdt>
              <w:sdtPr>
                <w:alias w:val="Email address"/>
                <w:tag w:val="EMAIL"/>
                <w:id w:val="700006"/>
                <w:color w:val="2F75B5"/>
                <w:dataBinding w:prefixMappings="xmlns:ns0='urn:uss:client-template'" w:xpath="/ns0:client[1]/ns0:email[1]" w:storeItemID="{DDEA5B46-24AD-4656-AE85-7295C9384617}"/>
                <w:text/>
              </w:sdtPr>
              <w:sdtContent>
                <w:r>
                  <w:rPr>
                    <w:rFonts w:ascii="Arial" w:hAnsi="Arial" w:eastAsia="Arial" w:cs="Arial"/>
                    <w:color w:val="145DA0"/>
                    <w:sz w:val="19"/>
                    <w:u w:val="single"/>
                  </w:rPr>
                  <w:t>john@beyondcapital.space</w:t>
                </w:r>
              </w:sdtContent>
            </w:sdt>
          </w:p>
        </w:tc>
        <w:tc>
          <w:tcPr>
            <w:tcW w:type="dxa" w:w="2360"/>
            <w:shd w:val="clear" w:color="auto" w:fill="EAF1F7"/>
            <w:tcMar>
              <w:top w:w="125" w:type="dxa"/>
              <w:start w:w="165" w:type="dxa"/>
              <w:bottom w:w="125" w:type="dxa"/>
              <w:end w:w="165" w:type="dxa"/>
            </w:tcMar>
            <w:vAlign w:val="top"/>
            <w:tcBorders>
              <w:top w:val="single" w:sz="12" w:space="0" w:color="145DA0"/>
              <w:bottom w:val="single" w:sz="4" w:space="0" w:color="D7DEE7"/>
            </w:tcBorders>
          </w:tcPr>
          <w:p>
            <w:pPr>
              <w:pStyle w:val="USSPanelDate"/>
              <w:jc w:val="right"/>
            </w:pPr>
            <w:r>
              <w:fldChar w:fldCharType="begin" w:dirty="true"/>
            </w:r>
            <w:r>
              <w:instrText xml:space="preserve"> DATE \@ "MMMM d, yyyy" </w:instrText>
            </w:r>
            <w:r>
              <w:fldChar w:fldCharType="separate"/>
            </w:r>
            <w:r>
              <w:t>July 29, 2026</w:t>
            </w:r>
            <w:r>
              <w:fldChar w:fldCharType="end"/>
            </w:r>
          </w:p>
        </w:tc>
      </w:tr>
    </w:tbl>
    <w:p>
      <w:pPr>
        <w:spacing w:after="280" w:lineRule="exact" w:line="60"/>
      </w:pPr>
    </w:p>
    <w:p>
      <w:pPr>
        <w:pStyle w:val="USSSalutation"/>
      </w:pPr>
      <w:r>
        <w:t xml:space="preserve">Dear </w:t>
      </w:r>
      <w:sdt>
        <w:sdtPr>
          <w:alias w:val="Honorific"/>
          <w:tag w:val="HONORIFIC"/>
          <w:id w:val="700007"/>
          <w:color w:val="2F75B5"/>
          <w:dataBinding w:prefixMappings="xmlns:ns0='urn:uss:client-template'" w:xpath="/ns0:client[1]/ns0:honorific[1]" w:storeItemID="{DDEA5B46-24AD-4656-AE85-7295C9384617}"/>
          <w:text/>
        </w:sdtPr>
        <w:sdtContent>
          <w:r>
            <w:t>Mr.</w:t>
          </w:r>
        </w:sdtContent>
      </w:sdt>
      <w:r>
        <w:t xml:space="preserve"> </w:t>
      </w:r>
      <w:sdt>
        <w:sdtPr>
          <w:alias w:val="Last name"/>
          <w:tag w:val="LAST_NAME"/>
          <w:id w:val="700012"/>
          <w:color w:val="2F75B5"/>
          <w:dataBinding w:prefixMappings="xmlns:ns0='urn:uss:client-template'" w:xpath="/ns0:client[1]/ns0:lastName[1]" w:storeItemID="{DDEA5B46-24AD-4656-AE85-7295C9384617}"/>
          <w:text/>
        </w:sdtPr>
        <w:sdtContent>
          <w:r>
            <w:t>John</w:t>
          </w:r>
        </w:sdtContent>
      </w:sdt>
    </w:p>
    <w:p>
      <w:pPr>
        <w:pStyle w:val="USSLead"/>
        <w:ind w:left="202" w:right="115"/>
        <w:shd w:val="clear" w:fill="EAF1F7"/>
        <w:pBdr>
          <w:left w:val="single" w:sz="18" w:space="10" w:color="145DA0"/>
        </w:pBdr>
      </w:pPr>
      <w:r>
        <w:t xml:space="preserve">This tax engagement letter compliments our proposal dated </w:t>
      </w:r>
      <w:r>
        <w:fldChar w:fldCharType="begin" w:dirty="true"/>
      </w:r>
      <w:r>
        <w:instrText xml:space="preserve"> DATE \@ "MMMM d, yyyy" </w:instrText>
      </w:r>
      <w:r>
        <w:fldChar w:fldCharType="separate"/>
      </w:r>
      <w:r>
        <w:t>July 29, 2026</w:t>
      </w:r>
      <w:r>
        <w:fldChar w:fldCharType="end"/>
      </w:r>
      <w:r>
        <w:t>.</w:t>
      </w:r>
    </w:p>
    <w:p>
      <w:pPr>
        <w:pStyle w:val="USSBody"/>
      </w:pPr>
      <w:r>
        <w:t xml:space="preserve">We will prepare the Federal and State corporate income tax returns for </w:t>
      </w:r>
      <w:sdt>
        <w:sdtPr>
          <w:alias w:val="Company name"/>
          <w:tag w:val="COMPANY_NAME"/>
          <w:id w:val="700002"/>
          <w:color w:val="2F75B5"/>
          <w:dataBinding w:prefixMappings="xmlns:ns0='urn:uss:client-template'" w:xpath="/ns0:client[1]/ns0:company[1]" w:storeItemID="{DDEA5B46-24AD-4656-AE85-7295C9384617}"/>
          <w:text/>
        </w:sdtPr>
        <w:sdtContent>
          <w:r>
            <w:t>Beyond Space Capital Inc</w:t>
          </w:r>
        </w:sdtContent>
      </w:sdt>
      <w:r>
        <w:t xml:space="preserve"> for the year ended </w:t>
      </w:r>
      <w:sdt>
        <w:sdtPr>
          <w:alias w:val="Tax year end"/>
          <w:tag w:val="TAX_YEAR_END"/>
          <w:id w:val="700014"/>
          <w:color w:val="2F75B5"/>
          <w:dataBinding w:prefixMappings="xmlns:ns0='urn:uss:client-template'" w:xpath="/ns0:client[1]/ns0:taxYearEnd[1]" w:storeItemID="{DDEA5B46-24AD-4656-AE85-7295C9384617}"/>
          <w:text/>
        </w:sdtPr>
        <w:sdtContent>
          <w:r>
            <w:t>December 31, 2025</w:t>
          </w:r>
        </w:sdtContent>
      </w:sdt>
      <w:r>
        <w:t xml:space="preserve"> and thereafter, and we will advise you on income tax matters as to which you specifically request our advice. This firm is responsible for preparing only the returns listed above. You agree to advise us of additional State and local income tax filing requirements.</w:t>
      </w:r>
    </w:p>
    <w:p>
      <w:pPr>
        <w:pStyle w:val="USSBody"/>
      </w:pPr>
      <w:r>
        <w:t>We will not audit or verify the data you submit, although we may ask you to clarify it, or furnish us with additional data.</w:t>
      </w:r>
    </w:p>
    <w:p>
      <w:pPr>
        <w:pStyle w:val="USSBody"/>
      </w:pPr>
      <w:r>
        <w:t>By your signature below, you are confirming to us that unless we are otherwise advised, the travel, entertainment, gifts, and related expenses are supported by the necessary records required under Section 274 of the Internal Revenue Code. If you have any questions as to the type of records required, please ask us for advice in that regard. You are also confirming that you will furnish us with all the information required for preparing the returns.</w:t>
      </w:r>
    </w:p>
    <w:p>
      <w:pPr>
        <w:pStyle w:val="USSBody"/>
      </w:pPr>
      <w:r>
        <w:t>The IRS and U.S. Treasury have issued final tangible property regulations (TPRs) that govern when taxpayers must capitalize and when they can deduct expenditures for acquiring, producing, or improving tangible property. These regulations are fully effective for tax years beginning on or after January 1, 2014. Under certain circumstances, however, these regulations may also be applied retroactively back to the start of 2012 and are required to be applied to items on the taxpayer’s tax depreciation schedule or that should be on the taxpayer’s depreciation schedule based upon the criteria on the final TPRs. The final regulations have created new annual elections, and while certain safe harbors and elections are implemented through filing statements or treatment of an item on a timely filed federal tax return, the IRS considers the remaining provisions to be a change in method of accounting, which may require a taxpayer to file Form 3115, Application for Change in Accounting Method.</w:t>
      </w:r>
    </w:p>
    <w:p>
      <w:pPr>
        <w:pStyle w:val="USSBody"/>
      </w:pPr>
      <w:r>
        <w:t>The IRS has simplified procedures that will allow small businesses (defined as businesses, including sole proprietors, with assets totaling less than $10 million or average annual gross receipts totaling $10 million or less) to change a method of accounting under the final tangible property regulations on a prospective basis for the first taxable year beginning on or after January 1, 2014. The IRS is also waiving the requirement to complete and file IRS Form 3115 for small business taxpayers that choose to use this simplified procedure for 2014.</w:t>
      </w:r>
    </w:p>
    <w:p>
      <w:pPr>
        <w:pStyle w:val="USSBody"/>
      </w:pPr>
      <w:r>
        <w:t>In order to make an election on a timely filed federal tax return and/or to properly complete Form 3115 when required, our firm may need additional time to analyze your current and prior acquisitions and improvements. By your signature below, you accept ultimate responsibility for your capitalization analyses and decisions, and you agree to provide us with the information necessary to prepare the appropriate elections and/or method change IRS form(s). If you have any questions regarding the application of these new regulations to your company, or your company’s specific qualifications for one of the safe harbors or new method changes, please ask us for advice in that regard.</w:t>
      </w:r>
    </w:p>
    <w:p>
      <w:pPr>
        <w:pStyle w:val="USSBody"/>
      </w:pPr>
      <w:r>
        <w:t>The law provides for a penalty to be imposed where taxpayers make a substantial understatement of their tax liability. For corporate taxpayers (other than an S-corporation or a personal holding company), there is a substantial understatement of income tax for any taxable year if the amount of the understatement for the taxable year exceeds the lesser of (i) 10 percent of the tax required to be shown on the return for the taxable year (or, if greater, $10,000) or (ii) $10,000,000. The penalty is 20 percent of the tax underpayment. Taxpayers may seek to avoid all or part of the penalty by showing (1) that they acted in good faith and there was reasonable cause for the understatement, (2) that the understatement was based on substantial authority, or (3) that the relevant facts affecting the item’s tax treatment were adequately disclosed on the return. You agree to advise us if you wish disclosure to be made in your returns or if you desire us to identify or perform further research with respect to any material tax issues for the purposes of ascertaining whether, in our opinion, there is "substantial authority" for the position proposed to be taken on such issues in your returns.</w:t>
      </w:r>
    </w:p>
    <w:p>
      <w:pPr>
        <w:pStyle w:val="USSBody"/>
      </w:pPr>
      <w:r>
        <w:t>Our work in connection with the preparation of your income tax returns does not include any procedures designed to discover fraud, defalcations, or other irregularities, should any exist. We will render such accounting and keeping assistance as we find necessary for preparing the income tax returns. If necessary, we will write up your books based on information provided by you, including the classification of expenses. You are also confirming that you will furnish us with all the information required for preparing the returns.</w:t>
      </w:r>
    </w:p>
    <w:p>
      <w:pPr>
        <w:pStyle w:val="USSBody"/>
      </w:pPr>
      <w:r>
        <w:t>We will use our professional judgment in preparing your returns. Whenever we are aware that a possibly applicable tax law is unclear or that there are conflicting interpretations of the law by authorities (e.g., tax agencies and courts), we will explain the possible positions that may be taken on your return. In accordance with our professional standards, we will follow whatever position you request, as long as it is consistent with the codes, regulations, and interpretations that have been promulgated. If the Internal Revenue Service should later contest the position taken, there may be an assessment of additional tax plus interest and penalties. We assume no liability for any such additional penalties or assessments. In the event, however, that you ask us to take a tax position that in our professional judgment will not meet the applicable laws and standards as promulgated, we reserve the right to stop work and shall not be liable for any damages that occur as a result of ceasing to render services.</w:t>
      </w:r>
    </w:p>
    <w:p>
      <w:pPr>
        <w:pStyle w:val="USSBody"/>
      </w:pPr>
      <w:r>
        <w:t>Please note that any person or entity subject to the jurisdiction of the United States (includes individuals, corporations, partnerships, trusts, and estates) having a financial interest in, or signature or other authority over, bank accounts, securities, or other financial accounts having an aggregate value exceeding $10,000 at any time during the calendar year in a foreign country, shall report such a relationship. Although there are some limited exceptions, filing requirements also apply to taxpayers that have direct or indirect control over a foreign or domestic entity with foreign financial accounts, even if the taxpayer does not have foreign account(s). For example, a corporate-owned foreign account would require filings by the corporation and by the individual corporate officers with signature authority. Failure to disclose the required information to the U.S. Department of the Treasury may result in substantial civil and/or criminal penalties.</w:t>
      </w:r>
    </w:p>
    <w:p>
      <w:pPr>
        <w:pStyle w:val="USSBody"/>
      </w:pPr>
      <w:r>
        <w:t>If you and/or your entity have a financial interest in, or signature authority over, any foreign accounts, you are responsible for providing our firm with all the information necessary to prepare the Report of Foreign Bank and Financial Accounts (FBAR) required by the U.S. Department of the Treasury in order for the FBAR to be received by the Department on or before April 15th of each tax year. Electronic filing of FBAR reports is mandatory using the Bank Secrecy Act (BSA) e-filing system for the Financial Crimes Enforcement Network (FinCEN). If you would like our firm to submit your electronic FBAR report (FinCEN Form 114) on your behalf, we must receive a signed consent form (FinCEN Form 114a) from you prior to submitting the foreign reporting form. If you do not provide our firm with information regarding any interest you may have in a foreign account, or if we do not receive your signed authorization to file your foreign reporting form, we will not be able to prepare and file any of the required disclosure statements.</w:t>
      </w:r>
    </w:p>
    <w:p>
      <w:pPr>
        <w:pStyle w:val="USSBody"/>
      </w:pPr>
      <w:r>
        <w:t>In addition, the Internal Revenue Service also requires information reporting under applicable Internal Revenue Code sections and related regulations, and the respective IRS tax forms are due when your income tax return is due, including extensions. The IRS reporting requirements are in addition to the U.S. Department of the Treasury reporting requirements stated above. Therefore, if you fall into one of the below categories, or if you have any direct or indirect foreign interests, you may be required to file applicable IRS forms.</w:t>
      </w:r>
    </w:p>
    <w:p>
      <w:pPr>
        <w:pStyle w:val="ListBullet"/>
      </w:pPr>
      <w:r>
        <w:t>You are an individual or entity with ownership of foreign financial assets and meet the specified criteria (Form 8938);</w:t>
      </w:r>
    </w:p>
    <w:p>
      <w:pPr>
        <w:pStyle w:val="ListBullet"/>
      </w:pPr>
      <w:r>
        <w:t>You are an officer, director, or shareholder with respect to certain foreign corporations (Form 5471);</w:t>
      </w:r>
    </w:p>
    <w:p>
      <w:pPr>
        <w:pStyle w:val="ListBullet"/>
      </w:pPr>
      <w:r>
        <w:t>You are a foreign-owned U.S. corporation or foreign corporation engaged in a U.S. trade or business (Form 5472);</w:t>
      </w:r>
    </w:p>
    <w:p>
      <w:pPr>
        <w:pStyle w:val="ListBullet"/>
      </w:pPr>
      <w:r>
        <w:t>You are a U.S. transferor of property to a foreign corporation (Form 926);</w:t>
      </w:r>
    </w:p>
    <w:p>
      <w:pPr>
        <w:pStyle w:val="ListBullet"/>
      </w:pPr>
      <w:r>
        <w:t>You are a U.S. person with an interest in a foreign trust (Forms 3520 and 3520-A); or</w:t>
      </w:r>
    </w:p>
    <w:p>
      <w:pPr>
        <w:pStyle w:val="ListBullet"/>
      </w:pPr>
      <w:r>
        <w:t>You are a U.S. person with interests in a foreign partnership (Form 8865).</w:t>
      </w:r>
    </w:p>
    <w:p>
      <w:pPr>
        <w:pStyle w:val="USSBody"/>
      </w:pPr>
      <w:r>
        <w:t>Failure to timely file the appropriate forms with the U.S. Department of the Treasury and the Internal Revenue Service may result in substantial monetary penalties. By your signature below, you accept responsibility for informing us if you believe that you may have foreign reporting requirements with the U.S. Department of the Treasury and/or Internal Revenue Service and you agree to timely provide us with the information necessary to prepare the appropriate form(s). We assume no liability for penalties associated with the failure or untimely filing of any of these forms.</w:t>
      </w:r>
    </w:p>
    <w:p>
      <w:pPr>
        <w:pStyle w:val="USSBody"/>
      </w:pPr>
      <w:r>
        <w:t>Federal law has extended the attorney-client privilege to some, but not all, communications between a client and the client’s CPA. The privilege applies only to non-criminal tax matters that are before the IRS or brought by or against the U.S. government in a federal court. The communications must be made in connection with tax advice. Communications solely concerning the preparation of a tax return will not be privileged.</w:t>
      </w:r>
    </w:p>
    <w:p>
      <w:pPr>
        <w:pStyle w:val="USSBody"/>
      </w:pPr>
      <w:r>
        <w:t>In addition, the confidentiality privilege can be inadvertently waived if the contents of any privileged communication are discussed with a third party, such as a lending institution, a friend, or a business associate. We recommend that you contact us before releasing any privileged information to a third party. As a corporation, you need to be especially careful about privileged communications. If a communication is made in the presence of a corporate employee who is not authorized to act or speak for the corporation in relation to the communication’s subject matter, then the communication will be deemed to be made in the presence of a third party and any privilege will be waived.</w:t>
      </w:r>
    </w:p>
    <w:p>
      <w:pPr>
        <w:pStyle w:val="USSBody"/>
      </w:pPr>
      <w:r>
        <w:t>If we are asked to disclose any privileged communication, unless we are required to disclose the communication by law, we will not provide such disclosure until you have had an opportunity to argue that the communication is privileged. You agree to pay any and all reasonable expenses that we incur, including legal fees that are a result of attempts to protect any communication as privileged.</w:t>
      </w:r>
    </w:p>
    <w:p>
      <w:pPr>
        <w:pStyle w:val="USSBody"/>
      </w:pPr>
      <w:r>
        <w:t>Management is responsible for the design, implementation, and administration of applicable policies that may be required under the Affordable Care Act. As U.S. Steuerberatung LLC and its affiliates are not rendering any legal services as part of our engagement, we will not be responsible for advising you with respect to the legal or regulatory aspects of your company’s compliance with the Affordable Care Act.</w:t>
      </w:r>
    </w:p>
    <w:p>
      <w:pPr>
        <w:pStyle w:val="USSBody"/>
      </w:pPr>
      <w:r>
        <w:t xml:space="preserve">Our fees for the aforementioned services are included in our proposal dated </w:t>
      </w:r>
      <w:r>
        <w:fldChar w:fldCharType="begin" w:dirty="true"/>
      </w:r>
      <w:r>
        <w:instrText xml:space="preserve"> DATE \@ "MMMM d, yyyy" </w:instrText>
      </w:r>
      <w:r>
        <w:fldChar w:fldCharType="separate"/>
      </w:r>
      <w:r>
        <w:t>July 29, 2026</w:t>
      </w:r>
      <w:r>
        <w:fldChar w:fldCharType="end"/>
      </w:r>
      <w:r>
        <w:t>. In recognition of the relative risks and benefits of this agreement to both you and us, we both have discussed and agreed on the fair allocation of risk between us. As such, you agree, to the fullest extent permitted by law, that we will not be liable for any lost profits, indirect, special, incidental, punitive or consequential damages of any nature even if we have been advised by you of the possibility of such damages.</w:t>
      </w:r>
    </w:p>
    <w:p>
      <w:pPr>
        <w:pStyle w:val="USSBody"/>
      </w:pPr>
      <w:r>
        <w:t>U.S. Steuerberatung LLC shall, during the term of the engagement and for 3 years after termination of same by either you or us, maintain in full force and effect, accountants professional liability (Optional - and cyber liability) insurance coverage from an insurer or insurers licensed to conduct business in the state of Connecticut, Delaware, Florida, New Jersey and New York. As of the policy effective date, such insurer or insurers shall be rated A- (Excellent), by A.M. Best with a Financial Size Category of Class VII or greater. Premiums for said insurance policy shall be paid by U.S. Steuerberatung LLC.</w:t>
      </w:r>
    </w:p>
    <w:p>
      <w:pPr>
        <w:pStyle w:val="USSBody"/>
      </w:pPr>
      <w:r>
        <w:t>In addition, in the event our firm or any of its employees or agents is called as a witness or requested to provide any information whether oral, written, or electronic in any judicial, quasi-judicial, or administrative hearing or trial regarding information or communications that you have provided to this firm, or any documents and work papers prepared by U.S. Steuerberatung LLC and its affiliates in accordance with the terms of this agreement, you agree to pay any and all reasonable expenses, including fees and costs for our time at the rates specified in our engagement letter, as well as any legal or other fees that we incur as a result of such appearance or production of documents.</w:t>
      </w:r>
    </w:p>
    <w:p>
      <w:pPr>
        <w:pStyle w:val="USSBody"/>
      </w:pPr>
      <w:r>
        <w:t>The fee does not include responding to inquiries from taxing authorities. Our firm is also not responsible for a taxing authority’s disallowance of doubtful deductions or deductions that are not supported by you with adequate documentation, nor for resulting taxes, penalties, and interest.</w:t>
      </w:r>
    </w:p>
    <w:p>
      <w:pPr>
        <w:pStyle w:val="USSBody"/>
      </w:pPr>
      <w:r>
        <w:t>In connection with this engagement, we may communicate with you or others via email transmission. We take reasonable measures to secure your confidential information in our email transmissions, including password protecting tax returns and other confidential documents. However, as emails can be intercepted and read, disclosed, or otherwise used or communicated by an unintended third party, or may not be delivered to each of the parties to whom they are directed and only to such parties, we cannot guarantee or warrant that emails from us will be properly delivered and read only by the addressee. Therefore, we specifically disclaim and waive any liability or responsibility whatsoever for interception or unintentional disclosure or communication of email transmissions, or for the unauthorized use or failed delivery of emails transmitted by us in connection with the performance of this engagement. In that regard, you agree that we shall have no liability for any loss or damage to any person or entity resulting from the use of email transmissions, including any consequential, incidental, direct, indirect, or special damages, such as loss of sales or anticipated profits, or disclosure or communication of confidential or proprietary information.</w:t>
      </w:r>
    </w:p>
    <w:p>
      <w:pPr>
        <w:pStyle w:val="USSBody"/>
      </w:pPr>
      <w:r>
        <w:t>It is our policy to keep records related to this engagement for seven years. However, U.S. Steuerberatung LLC and its affiliates do not keep any original client records, so we will return those to you at the completion of the services rendered under this engagement. When records are returned to you, it is your responsibility to retain and protect your records for possible future use, including potential examination by any government or regulatory agencies.</w:t>
      </w:r>
    </w:p>
    <w:p>
      <w:pPr>
        <w:pStyle w:val="USSBody"/>
      </w:pPr>
      <w:r>
        <w:t>By your signature below, you acknowledge and agree that upon the expiration of the seven-year period, U.S. Steuerberatung LLC and its affiliates shall be free to destroy our records related to this engagement.</w:t>
      </w:r>
    </w:p>
    <w:p>
      <w:pPr>
        <w:pStyle w:val="USSBody"/>
      </w:pPr>
      <w:r>
        <w:t>We appreciate the opportunity to be of service to your company and believe this letter accurately summarizes the significant terms of our engagement. If you have any questions, please let us know.</w:t>
      </w:r>
    </w:p>
    <w:p>
      <w:pPr>
        <w:pStyle w:val="USSBody"/>
      </w:pPr>
      <w:r>
        <w:t>If the foregoing is acceptable to you, please sign the original copy of this letter in the space provided and return it to us.</w:t>
      </w:r>
    </w:p>
    <w:p>
      <w:pPr>
        <w:keepNext/>
        <w:spacing w:before="160" w:after="0"/>
      </w:pPr>
    </w:p>
    <w:tbl>
      <w:tblPr>
        <w:tblW w:type="dxa" w:w="9360"/>
        <w:tblLayout w:type="fixed"/>
        <w:tblLook w:firstColumn="1" w:firstRow="1" w:lastColumn="0" w:lastRow="0" w:noHBand="0" w:noVBand="1" w:val="04A0"/>
        <w:tblInd w:w="120" w:type="dxa"/>
        <w:tblBorders>
          <w:top w:val="nil"/>
          <w:start w:val="nil"/>
          <w:bottom w:val="nil"/>
          <w:end w:val="nil"/>
          <w:insideH w:val="nil"/>
          <w:insideV w:val="nil"/>
        </w:tblBorders>
      </w:tblPr>
      <w:tblGrid>
        <w:gridCol w:w="4680"/>
        <w:gridCol w:w="4680"/>
      </w:tblGrid>
      <w:tr>
        <w:trPr>
          <w:cantSplit/>
        </w:trPr>
        <w:tc>
          <w:tcPr>
            <w:tcW w:type="dxa" w:w="4680"/>
            <w:tcMar>
              <w:top w:w="125" w:type="dxa"/>
              <w:start w:w="150" w:type="dxa"/>
              <w:bottom w:w="120" w:type="dxa"/>
              <w:end w:w="150" w:type="dxa"/>
            </w:tcMar>
            <w:shd w:val="clear" w:color="auto" w:fill="F5F7FA"/>
            <w:vAlign w:val="top"/>
            <w:tcBorders>
              <w:top w:val="single" w:sz="10" w:space="0" w:color="145DA0"/>
              <w:bottom w:val="single" w:sz="4" w:space="0" w:color="D7DEE7"/>
            </w:tcBorders>
          </w:tcPr>
          <w:p>
            <w:pPr>
              <w:pStyle w:val="USSSignatureLabel"/>
            </w:pPr>
            <w:r>
              <w:t>Very truly yours,</w:t>
            </w:r>
          </w:p>
          <w:p>
            <w:pPr>
              <w:pStyle w:val="USSSignature"/>
              <w:spacing w:before="260" w:after="20"/>
              <w:pBdr>
                <w:bottom w:val="single" w:sz="4" w:space="1" w:color="5F6B78"/>
              </w:pBdr>
            </w:pPr>
            <w:r>
              <w:drawing>
                <wp:inline xmlns:a="http://schemas.openxmlformats.org/drawingml/2006/main" xmlns:pic="http://schemas.openxmlformats.org/drawingml/2006/picture">
                  <wp:extent cx="2606040" cy="328466"/>
                  <wp:docPr id="1" name="Picture 1"/>
                  <wp:cNvGraphicFramePr>
                    <a:graphicFrameLocks noChangeAspect="1"/>
                  </wp:cNvGraphicFramePr>
                  <a:graphic>
                    <a:graphicData uri="http://schemas.openxmlformats.org/drawingml/2006/picture">
                      <pic:pic>
                        <pic:nvPicPr>
                          <pic:cNvPr id="0" name="signature.png"/>
                          <pic:cNvPicPr/>
                        </pic:nvPicPr>
                        <pic:blipFill>
                          <a:blip r:embed="rId13"/>
                          <a:stretch>
                            <a:fillRect/>
                          </a:stretch>
                        </pic:blipFill>
                        <pic:spPr>
                          <a:xfrm>
                            <a:off x="0" y="0"/>
                            <a:ext cx="2606040" cy="328466"/>
                          </a:xfrm>
                          <a:prstGeom prst="rect"/>
                        </pic:spPr>
                      </pic:pic>
                    </a:graphicData>
                  </a:graphic>
                </wp:inline>
              </w:drawing>
            </w:r>
          </w:p>
          <w:p>
            <w:pPr>
              <w:pStyle w:val="USSSignature"/>
            </w:pPr>
            <w:r>
              <w:rPr>
                <w:rFonts w:ascii="Arial" w:hAnsi="Arial" w:eastAsia="Arial" w:cs="Arial"/>
                <w:b/>
                <w:color w:val="17263A"/>
                <w:sz w:val="19"/>
              </w:rPr>
              <w:t>U.S. Steuerberatung LLC</w:t>
            </w:r>
          </w:p>
          <w:p>
            <w:pPr>
              <w:pStyle w:val="USSSignature"/>
            </w:pPr>
            <w:r>
              <w:t>Jens J. Faulhaber, Partner</w:t>
            </w:r>
          </w:p>
        </w:tc>
        <w:tc>
          <w:tcPr>
            <w:tcW w:type="dxa" w:w="4680"/>
            <w:tcMar>
              <w:top w:w="125" w:type="dxa"/>
              <w:start w:w="150" w:type="dxa"/>
              <w:bottom w:w="120" w:type="dxa"/>
              <w:end w:w="150" w:type="dxa"/>
            </w:tcMar>
            <w:shd w:val="clear" w:color="auto" w:fill="F5F7FA"/>
            <w:vAlign w:val="top"/>
            <w:tcBorders>
              <w:top w:val="single" w:sz="10" w:space="0" w:color="145DA0"/>
              <w:bottom w:val="single" w:sz="4" w:space="0" w:color="D7DEE7"/>
            </w:tcBorders>
          </w:tcPr>
          <w:p>
            <w:pPr>
              <w:pStyle w:val="USSSignatureLabel"/>
            </w:pPr>
            <w:r>
              <w:t>Accepted:</w:t>
            </w:r>
          </w:p>
          <w:p>
            <w:pPr>
              <w:pStyle w:val="USSSignature"/>
              <w:spacing w:before="720" w:after="40"/>
              <w:pBdr>
                <w:bottom w:val="single" w:sz="4" w:space="1" w:color="5F6B78"/>
              </w:pBdr>
            </w:pPr>
            <w:r>
              <w:t xml:space="preserve"> </w:t>
            </w:r>
          </w:p>
          <w:p>
            <w:pPr>
              <w:pStyle w:val="USSSignature"/>
              <w:jc w:val="center"/>
            </w:pPr>
            <w:sdt>
              <w:sdtPr>
                <w:alias w:val="Honorific"/>
                <w:tag w:val="HONORIFIC"/>
                <w:id w:val="700008"/>
                <w:color w:val="2F75B5"/>
                <w:dataBinding w:prefixMappings="xmlns:ns0='urn:uss:client-template'" w:xpath="/ns0:client[1]/ns0:honorific[1]" w:storeItemID="{DDEA5B46-24AD-4656-AE85-7295C9384617}"/>
                <w:text/>
              </w:sdtPr>
              <w:sdtContent>
                <w:r>
                  <w:t>Mr.</w:t>
                </w:r>
              </w:sdtContent>
            </w:sdt>
            <w:r>
              <w:t xml:space="preserve"> </w:t>
            </w:r>
            <w:sdt>
              <w:sdtPr>
                <w:alias w:val="First name"/>
                <w:tag w:val="FIRST_NAME"/>
                <w:id w:val="700010"/>
                <w:color w:val="2F75B5"/>
                <w:dataBinding w:prefixMappings="xmlns:ns0='urn:uss:client-template'" w:xpath="/ns0:client[1]/ns0:firstName[1]" w:storeItemID="{DDEA5B46-24AD-4656-AE85-7295C9384617}"/>
                <w:text/>
              </w:sdtPr>
              <w:sdtContent>
                <w:r>
                  <w:t>Michael</w:t>
                </w:r>
              </w:sdtContent>
            </w:sdt>
            <w:r>
              <w:t xml:space="preserve"> </w:t>
            </w:r>
            <w:sdt>
              <w:sdtPr>
                <w:alias w:val="Last name"/>
                <w:tag w:val="LAST_NAME"/>
                <w:id w:val="700013"/>
                <w:color w:val="2F75B5"/>
                <w:dataBinding w:prefixMappings="xmlns:ns0='urn:uss:client-template'" w:xpath="/ns0:client[1]/ns0:lastName[1]" w:storeItemID="{DDEA5B46-24AD-4656-AE85-7295C9384617}"/>
                <w:text/>
              </w:sdtPr>
              <w:sdtContent>
                <w:r>
                  <w:t>John</w:t>
                </w:r>
              </w:sdtContent>
            </w:sdt>
          </w:p>
          <w:p>
            <w:pPr>
              <w:pStyle w:val="USSSignature"/>
              <w:spacing w:before="300" w:after="40"/>
              <w:pBdr>
                <w:bottom w:val="single" w:sz="4" w:space="1" w:color="5F6B78"/>
              </w:pBdr>
            </w:pPr>
            <w:r>
              <w:t xml:space="preserve"> </w:t>
            </w:r>
          </w:p>
          <w:p>
            <w:pPr>
              <w:pStyle w:val="USSSignature"/>
              <w:jc w:val="center"/>
            </w:pPr>
            <w:r>
              <w:t>Date</w:t>
            </w:r>
          </w:p>
        </w:tc>
      </w:tr>
    </w:tbl>
    <w:sectPr w:rsidR="00FC693F" w:rsidRPr="0006063C" w:rsidSect="00034616">
      <w:headerReference w:type="first" r:id="rId9"/>
      <w:headerReference w:type="default" r:id="rId10"/>
      <w:footerReference w:type="first" r:id="rId11"/>
      <w:footerReference w:type="default" r:id="rId12"/>
      <w:pgSz w:w="12240" w:h="15840"/>
      <w:pgMar w:top="1267" w:right="1440" w:bottom="1037" w:left="1440" w:header="403"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top w:val="nil"/>
        <w:start w:val="nil"/>
        <w:bottom w:val="nil"/>
        <w:end w:val="nil"/>
        <w:insideH w:val="nil"/>
        <w:insideV w:val="nil"/>
      </w:tblBorders>
    </w:tblPr>
    <w:tblGrid>
      <w:gridCol w:w="7800"/>
      <w:gridCol w:w="1560"/>
    </w:tblGrid>
    <w:tr>
      <w:tc>
        <w:tcPr>
          <w:tcW w:type="dxa" w:w="7800"/>
          <w:tcMar>
            <w:top w:w="50" w:type="dxa"/>
            <w:start w:w="0" w:type="dxa"/>
            <w:bottom w:w="0" w:type="dxa"/>
            <w:end w:w="0" w:type="dxa"/>
          </w:tcMar>
          <w:tcBorders>
            <w:top w:val="single" w:sz="4" w:space="0" w:color="D7DEE7"/>
          </w:tcBorders>
          <w:vAlign w:val="center"/>
        </w:tcPr>
        <w:p>
          <w:pPr>
            <w:pStyle w:val="USSFooter"/>
            <w:spacing w:after="0"/>
          </w:pPr>
          <w:r>
            <w:rPr>
              <w:rFonts w:ascii="Arial" w:hAnsi="Arial" w:eastAsia="Arial" w:cs="Arial"/>
              <w:color w:val="5F6B78"/>
              <w:sz w:val="14"/>
            </w:rPr>
            <w:t>U.S. Steuerberatung  |  600 Third Ave, 2nd Floor • New York, NY 10016  |  tel: +1 646 513 3218 • fax: +1 646 553 2946</w:t>
          </w:r>
        </w:p>
      </w:tc>
      <w:tc>
        <w:tcPr>
          <w:tcW w:type="dxa" w:w="1560"/>
          <w:tcMar>
            <w:top w:w="50" w:type="dxa"/>
            <w:start w:w="0" w:type="dxa"/>
            <w:bottom w:w="0" w:type="dxa"/>
            <w:end w:w="0" w:type="dxa"/>
          </w:tcMar>
          <w:tcBorders>
            <w:top w:val="single" w:sz="4" w:space="0" w:color="D7DEE7"/>
          </w:tcBorders>
          <w:vAlign w:val="center"/>
        </w:tcPr>
        <w:p>
          <w:pPr>
            <w:pStyle w:val="USSFooter"/>
            <w:spacing w:after="0"/>
            <w:jc w:val="right"/>
          </w:pPr>
          <w:r>
            <w:rPr>
              <w:rFonts w:ascii="Arial" w:hAnsi="Arial" w:eastAsia="Arial" w:cs="Arial"/>
              <w:color w:val="5F6B78"/>
              <w:sz w:val="15"/>
            </w:rPr>
            <w:t xml:space="preserve">Page </w:t>
          </w:r>
          <w:r>
            <w:fldChar w:fldCharType="begin" w:dirty="true"/>
          </w:r>
          <w:r>
            <w:instrText xml:space="preserve"> PAGE </w:instrText>
          </w:r>
          <w:r>
            <w:fldChar w:fldCharType="separate"/>
          </w:r>
          <w:r>
            <w:rPr>
              <w:rFonts w:ascii="Arial" w:hAnsi="Arial" w:eastAsia="Arial" w:cs="Arial"/>
              <w:color w:val="5F6B78"/>
              <w:sz w:val="15"/>
            </w:rPr>
            <w:t>1</w:t>
          </w:r>
          <w:r>
            <w:fldChar w:fldCharType="end"/>
          </w:r>
          <w:r>
            <w:rPr>
              <w:rFonts w:ascii="Arial" w:hAnsi="Arial" w:eastAsia="Arial" w:cs="Arial"/>
              <w:color w:val="5F6B78"/>
              <w:sz w:val="15"/>
            </w:rPr>
            <w:t xml:space="preserve"> of </w:t>
          </w:r>
          <w:r>
            <w:fldChar w:fldCharType="begin" w:dirty="true"/>
          </w:r>
          <w:r>
            <w:instrText xml:space="preserve"> NUMPAGES </w:instrText>
          </w:r>
          <w:r>
            <w:fldChar w:fldCharType="separate"/>
          </w:r>
          <w:r>
            <w:rPr>
              <w:rFonts w:ascii="Arial" w:hAnsi="Arial" w:eastAsia="Arial" w:cs="Arial"/>
              <w:color w:val="5F6B78"/>
              <w:sz w:val="15"/>
            </w:rPr>
            <w:t>1</w:t>
          </w:r>
          <w:r>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top w:val="nil"/>
        <w:start w:val="nil"/>
        <w:bottom w:val="nil"/>
        <w:end w:val="nil"/>
        <w:insideH w:val="nil"/>
        <w:insideV w:val="nil"/>
      </w:tblBorders>
    </w:tblPr>
    <w:tblGrid>
      <w:gridCol w:w="7800"/>
      <w:gridCol w:w="1560"/>
    </w:tblGrid>
    <w:tr>
      <w:tc>
        <w:tcPr>
          <w:tcW w:type="dxa" w:w="7800"/>
          <w:tcMar>
            <w:top w:w="50" w:type="dxa"/>
            <w:start w:w="0" w:type="dxa"/>
            <w:bottom w:w="0" w:type="dxa"/>
            <w:end w:w="0" w:type="dxa"/>
          </w:tcMar>
          <w:tcBorders>
            <w:top w:val="single" w:sz="4" w:space="0" w:color="D7DEE7"/>
          </w:tcBorders>
          <w:vAlign w:val="center"/>
        </w:tcPr>
        <w:p>
          <w:pPr>
            <w:pStyle w:val="USSFooter"/>
            <w:spacing w:after="0"/>
          </w:pPr>
          <w:r>
            <w:rPr>
              <w:rFonts w:ascii="Arial" w:hAnsi="Arial" w:eastAsia="Arial" w:cs="Arial"/>
              <w:color w:val="5F6B78"/>
              <w:sz w:val="14"/>
            </w:rPr>
            <w:t>U.S. Steuerberatung  |  600 Third Ave, 2nd Floor • New York, NY 10016  |  tel: +1 646 513 3218 • fax: +1 646 553 2946</w:t>
          </w:r>
        </w:p>
      </w:tc>
      <w:tc>
        <w:tcPr>
          <w:tcW w:type="dxa" w:w="1560"/>
          <w:tcMar>
            <w:top w:w="50" w:type="dxa"/>
            <w:start w:w="0" w:type="dxa"/>
            <w:bottom w:w="0" w:type="dxa"/>
            <w:end w:w="0" w:type="dxa"/>
          </w:tcMar>
          <w:tcBorders>
            <w:top w:val="single" w:sz="4" w:space="0" w:color="D7DEE7"/>
          </w:tcBorders>
          <w:vAlign w:val="center"/>
        </w:tcPr>
        <w:p>
          <w:pPr>
            <w:pStyle w:val="USSFooter"/>
            <w:spacing w:after="0"/>
            <w:jc w:val="right"/>
          </w:pPr>
          <w:r>
            <w:rPr>
              <w:rFonts w:ascii="Arial" w:hAnsi="Arial" w:eastAsia="Arial" w:cs="Arial"/>
              <w:color w:val="5F6B78"/>
              <w:sz w:val="15"/>
            </w:rPr>
            <w:t xml:space="preserve">Page </w:t>
          </w:r>
          <w:r>
            <w:fldChar w:fldCharType="begin" w:dirty="true"/>
          </w:r>
          <w:r>
            <w:instrText xml:space="preserve"> PAGE </w:instrText>
          </w:r>
          <w:r>
            <w:fldChar w:fldCharType="separate"/>
          </w:r>
          <w:r>
            <w:rPr>
              <w:rFonts w:ascii="Arial" w:hAnsi="Arial" w:eastAsia="Arial" w:cs="Arial"/>
              <w:color w:val="5F6B78"/>
              <w:sz w:val="15"/>
            </w:rPr>
            <w:t>1</w:t>
          </w:r>
          <w:r>
            <w:fldChar w:fldCharType="end"/>
          </w:r>
          <w:r>
            <w:rPr>
              <w:rFonts w:ascii="Arial" w:hAnsi="Arial" w:eastAsia="Arial" w:cs="Arial"/>
              <w:color w:val="5F6B78"/>
              <w:sz w:val="15"/>
            </w:rPr>
            <w:t xml:space="preserve"> of </w:t>
          </w:r>
          <w:r>
            <w:fldChar w:fldCharType="begin" w:dirty="true"/>
          </w:r>
          <w:r>
            <w:instrText xml:space="preserve"> NUMPAGES </w:instrText>
          </w:r>
          <w:r>
            <w:fldChar w:fldCharType="separate"/>
          </w:r>
          <w:r>
            <w:rPr>
              <w:rFonts w:ascii="Arial" w:hAnsi="Arial" w:eastAsia="Arial" w:cs="Arial"/>
              <w:color w:val="5F6B78"/>
              <w:sz w:val="15"/>
            </w:rPr>
            <w:t>1</w:t>
          </w:r>
          <w: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top w:val="nil"/>
        <w:start w:val="nil"/>
        <w:bottom w:val="nil"/>
        <w:end w:val="nil"/>
        <w:insideH w:val="nil"/>
        <w:insideV w:val="nil"/>
      </w:tblBorders>
    </w:tblPr>
    <w:tblGrid>
      <w:gridCol w:w="4200"/>
      <w:gridCol w:w="5160"/>
    </w:tblGrid>
    <w:tr>
      <w:tc>
        <w:tcPr>
          <w:tcW w:type="dxa" w:w="4200"/>
          <w:tcMar>
            <w:top w:w="0" w:type="dxa"/>
            <w:start w:w="0" w:type="dxa"/>
            <w:bottom w:w="70" w:type="dxa"/>
            <w:end w:w="0" w:type="dxa"/>
          </w:tcMar>
          <w:vAlign w:val="center"/>
          <w:tcBorders>
            <w:bottom w:val="single" w:sz="14" w:space="0" w:color="145DA0"/>
          </w:tcBorders>
        </w:tcPr>
        <w:p>
          <w:pPr>
            <w:spacing w:after="0"/>
          </w:pPr>
          <w:r>
            <w:drawing>
              <wp:inline xmlns:a="http://schemas.openxmlformats.org/drawingml/2006/main" xmlns:pic="http://schemas.openxmlformats.org/drawingml/2006/picture">
                <wp:extent cx="1572768" cy="1047099"/>
                <wp:docPr id="1" name="Picture 1"/>
                <wp:cNvGraphicFramePr>
                  <a:graphicFrameLocks noChangeAspect="1"/>
                </wp:cNvGraphicFramePr>
                <a:graphic>
                  <a:graphicData uri="http://schemas.openxmlformats.org/drawingml/2006/picture">
                    <pic:pic>
                      <pic:nvPicPr>
                        <pic:cNvPr id="0" name="full-logo.png"/>
                        <pic:cNvPicPr/>
                      </pic:nvPicPr>
                      <pic:blipFill>
                        <a:blip r:embed="rId1"/>
                        <a:stretch>
                          <a:fillRect/>
                        </a:stretch>
                      </pic:blipFill>
                      <pic:spPr>
                        <a:xfrm>
                          <a:off x="0" y="0"/>
                          <a:ext cx="1572768" cy="1047099"/>
                        </a:xfrm>
                        <a:prstGeom prst="rect"/>
                      </pic:spPr>
                    </pic:pic>
                  </a:graphicData>
                </a:graphic>
              </wp:inline>
            </w:drawing>
          </w:r>
        </w:p>
      </w:tc>
      <w:tc>
        <w:tcPr>
          <w:tcW w:type="dxa" w:w="5160"/>
          <w:tcMar>
            <w:top w:w="0" w:type="dxa"/>
            <w:start w:w="0" w:type="dxa"/>
            <w:bottom w:w="70" w:type="dxa"/>
            <w:end w:w="0" w:type="dxa"/>
          </w:tcMar>
          <w:vAlign w:val="center"/>
          <w:tcBorders>
            <w:bottom w:val="single" w:sz="14" w:space="0" w:color="145DA0"/>
          </w:tcBorders>
        </w:tcPr>
        <w:p>
          <w:pPr>
            <w:spacing w:after="0"/>
            <w:jc w:val="right"/>
          </w:pPr>
          <w:r>
            <w:rPr>
              <w:rFonts w:ascii="Arial" w:hAnsi="Arial" w:eastAsia="Arial" w:cs="Arial"/>
              <w:b/>
              <w:caps/>
              <w:color w:val="17263A"/>
              <w:sz w:val="16"/>
            </w:rPr>
            <w:t>CONFIDENTIAL</w:t>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top w:val="nil"/>
        <w:start w:val="nil"/>
        <w:bottom w:val="nil"/>
        <w:end w:val="nil"/>
        <w:insideH w:val="nil"/>
        <w:insideV w:val="nil"/>
      </w:tblBorders>
    </w:tblPr>
    <w:tblGrid>
      <w:gridCol w:w="8200"/>
      <w:gridCol w:w="1160"/>
    </w:tblGrid>
    <w:tr>
      <w:tc>
        <w:tcPr>
          <w:tcW w:type="dxa" w:w="8200"/>
          <w:tcMar>
            <w:top w:w="0" w:type="dxa"/>
            <w:start w:w="0" w:type="dxa"/>
            <w:bottom w:w="55" w:type="dxa"/>
            <w:end w:w="0" w:type="dxa"/>
          </w:tcMar>
          <w:vAlign w:val="center"/>
          <w:tcBorders>
            <w:bottom w:val="single" w:sz="6" w:space="0" w:color="D7DEE7"/>
          </w:tcBorders>
        </w:tcPr>
        <w:p>
          <w:pPr>
            <w:spacing w:before="0" w:after="0" w:line="240" w:lineRule="auto"/>
          </w:pPr>
          <w:sdt>
            <w:sdtPr>
              <w:alias w:val="Company name"/>
              <w:tag w:val="COMPANY_NAME"/>
              <w:id w:val="700015"/>
              <w:color w:val="2F75B5"/>
              <w:dataBinding w:prefixMappings="xmlns:ns0='urn:uss:client-template'" w:xpath="/ns0:client[1]/ns0:company[1]" w:storeItemID="{DDEA5B46-24AD-4656-AE85-7295C9384617}"/>
              <w:text/>
            </w:sdtPr>
            <w:sdtContent>
              <w:r>
                <w:rPr>
                  <w:rFonts w:ascii="Arial" w:hAnsi="Arial" w:eastAsia="Arial" w:cs="Arial"/>
                  <w:b/>
                  <w:color w:val="17263A"/>
                  <w:sz w:val="16"/>
                </w:rPr>
                <w:t>Beyond Space Capital Inc</w:t>
              </w:r>
            </w:sdtContent>
          </w:sdt>
          <w:r>
            <w:rPr>
              <w:rFonts w:ascii="Arial" w:hAnsi="Arial" w:eastAsia="Arial" w:cs="Arial"/>
              <w:b/>
              <w:color w:val="17263A"/>
              <w:sz w:val="16"/>
            </w:rPr>
            <w:t xml:space="preserve">  ·  </w:t>
          </w:r>
          <w:sdt>
            <w:sdtPr>
              <w:alias w:val="Honorific"/>
              <w:tag w:val="HONORIFIC"/>
              <w:id w:val="700016"/>
              <w:color w:val="2F75B5"/>
              <w:dataBinding w:prefixMappings="xmlns:ns0='urn:uss:client-template'" w:xpath="/ns0:client[1]/ns0:honorific[1]" w:storeItemID="{DDEA5B46-24AD-4656-AE85-7295C9384617}"/>
              <w:text/>
            </w:sdtPr>
            <w:sdtContent>
              <w:r>
                <w:rPr>
                  <w:rFonts w:ascii="Arial" w:hAnsi="Arial" w:eastAsia="Arial" w:cs="Arial"/>
                  <w:b/>
                  <w:color w:val="17263A"/>
                  <w:sz w:val="16"/>
                </w:rPr>
                <w:t>Mr.</w:t>
              </w:r>
            </w:sdtContent>
          </w:sdt>
          <w:r>
            <w:rPr>
              <w:rFonts w:ascii="Arial" w:hAnsi="Arial" w:eastAsia="Arial" w:cs="Arial"/>
              <w:b/>
              <w:color w:val="17263A"/>
              <w:sz w:val="16"/>
            </w:rPr>
            <w:t xml:space="preserve"> </w:t>
          </w:r>
          <w:sdt>
            <w:sdtPr>
              <w:alias w:val="First name"/>
              <w:tag w:val="FIRST_NAME"/>
              <w:id w:val="700017"/>
              <w:color w:val="2F75B5"/>
              <w:dataBinding w:prefixMappings="xmlns:ns0='urn:uss:client-template'" w:xpath="/ns0:client[1]/ns0:firstName[1]" w:storeItemID="{DDEA5B46-24AD-4656-AE85-7295C9384617}"/>
              <w:text/>
            </w:sdtPr>
            <w:sdtContent>
              <w:r>
                <w:rPr>
                  <w:rFonts w:ascii="Arial" w:hAnsi="Arial" w:eastAsia="Arial" w:cs="Arial"/>
                  <w:b/>
                  <w:color w:val="17263A"/>
                  <w:sz w:val="16"/>
                </w:rPr>
                <w:t>Michael</w:t>
              </w:r>
            </w:sdtContent>
          </w:sdt>
          <w:r>
            <w:rPr>
              <w:rFonts w:ascii="Arial" w:hAnsi="Arial" w:eastAsia="Arial" w:cs="Arial"/>
              <w:b/>
              <w:color w:val="17263A"/>
              <w:sz w:val="16"/>
            </w:rPr>
            <w:t xml:space="preserve"> </w:t>
          </w:r>
          <w:sdt>
            <w:sdtPr>
              <w:alias w:val="Last name"/>
              <w:tag w:val="LAST_NAME"/>
              <w:id w:val="700018"/>
              <w:color w:val="2F75B5"/>
              <w:dataBinding w:prefixMappings="xmlns:ns0='urn:uss:client-template'" w:xpath="/ns0:client[1]/ns0:lastName[1]" w:storeItemID="{DDEA5B46-24AD-4656-AE85-7295C9384617}"/>
              <w:text/>
            </w:sdtPr>
            <w:sdtContent>
              <w:r>
                <w:rPr>
                  <w:rFonts w:ascii="Arial" w:hAnsi="Arial" w:eastAsia="Arial" w:cs="Arial"/>
                  <w:b/>
                  <w:color w:val="17263A"/>
                  <w:sz w:val="16"/>
                </w:rPr>
                <w:t>John</w:t>
              </w:r>
            </w:sdtContent>
          </w:sdt>
          <w:r>
            <w:br/>
          </w:r>
          <w:r>
            <w:rPr>
              <w:rFonts w:ascii="Arial" w:hAnsi="Arial" w:eastAsia="Arial" w:cs="Arial"/>
              <w:color w:val="5F6B78"/>
              <w:sz w:val="14"/>
            </w:rPr>
            <w:t xml:space="preserve">ENGAGEMENT LETTER  ·  </w:t>
          </w:r>
          <w:r>
            <w:rPr>
              <w:rFonts w:ascii="Arial" w:hAnsi="Arial" w:eastAsia="Arial" w:cs="Arial"/>
              <w:color w:val="5F6B78"/>
              <w:sz w:val="14"/>
            </w:rPr>
            <w:fldChar w:fldCharType="begin" w:dirty="true"/>
          </w:r>
          <w:r>
            <w:rPr>
              <w:rFonts w:ascii="Arial" w:hAnsi="Arial" w:eastAsia="Arial" w:cs="Arial"/>
              <w:color w:val="5F6B78"/>
              <w:sz w:val="14"/>
            </w:rPr>
            <w:instrText xml:space="preserve"> DATE \@ "MMMM d, yyyy" </w:instrText>
          </w:r>
          <w:r>
            <w:rPr>
              <w:rFonts w:ascii="Arial" w:hAnsi="Arial" w:eastAsia="Arial" w:cs="Arial"/>
              <w:color w:val="5F6B78"/>
              <w:sz w:val="14"/>
            </w:rPr>
            <w:fldChar w:fldCharType="separate"/>
          </w:r>
          <w:r>
            <w:rPr>
              <w:rFonts w:ascii="Arial" w:hAnsi="Arial" w:eastAsia="Arial" w:cs="Arial"/>
              <w:color w:val="5F6B78"/>
              <w:sz w:val="14"/>
            </w:rPr>
            <w:t>July 29, 2026</w:t>
          </w:r>
          <w:r>
            <w:rPr>
              <w:rFonts w:ascii="Arial" w:hAnsi="Arial" w:eastAsia="Arial" w:cs="Arial"/>
              <w:color w:val="5F6B78"/>
              <w:sz w:val="14"/>
            </w:rPr>
            <w:fldChar w:fldCharType="end"/>
          </w:r>
        </w:p>
      </w:tc>
      <w:tc>
        <w:tcPr>
          <w:tcW w:type="dxa" w:w="1160"/>
          <w:tcMar>
            <w:top w:w="0" w:type="dxa"/>
            <w:start w:w="0" w:type="dxa"/>
            <w:bottom w:w="55" w:type="dxa"/>
            <w:end w:w="70" w:type="dxa"/>
          </w:tcMar>
          <w:vAlign w:val="center"/>
          <w:tcBorders>
            <w:bottom w:val="single" w:sz="6" w:space="0" w:color="D7DEE7"/>
          </w:tcBorders>
        </w:tcPr>
        <w:p>
          <w:pPr>
            <w:spacing w:after="0"/>
            <w:jc w:val="right"/>
          </w:pPr>
          <w:r>
            <w:drawing>
              <wp:inline xmlns:a="http://schemas.openxmlformats.org/drawingml/2006/main" xmlns:pic="http://schemas.openxmlformats.org/drawingml/2006/picture">
                <wp:extent cx="384048" cy="319807"/>
                <wp:docPr id="1" name="Picture 1"/>
                <wp:cNvGraphicFramePr>
                  <a:graphicFrameLocks noChangeAspect="1"/>
                </wp:cNvGraphicFramePr>
                <a:graphic>
                  <a:graphicData uri="http://schemas.openxmlformats.org/drawingml/2006/picture">
                    <pic:pic>
                      <pic:nvPicPr>
                        <pic:cNvPr id="0" name="mark-word-safe.png"/>
                        <pic:cNvPicPr/>
                      </pic:nvPicPr>
                      <pic:blipFill>
                        <a:blip r:embed="rId1"/>
                        <a:stretch>
                          <a:fillRect/>
                        </a:stretch>
                      </pic:blipFill>
                      <pic:spPr>
                        <a:xfrm>
                          <a:off x="0" y="0"/>
                          <a:ext cx="384048" cy="319807"/>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updateFields w:val="true"/>
  <w:zoom w:val="bestFit"/>
  <w:proofState w:spelling="clean" w:grammar="clean"/>
  <w:defaultTabStop w:val="720"/>
  <w:autoHyphenation w:val="true"/>
  <w:consecutiveHyphenLimit w:val="2"/>
  <w:hyphenationZone w:val="360"/>
  <w:doNotHyphenateCaps w:val="true"/>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jc w:val="left"/>
    </w:pPr>
    <w:rPr>
      <w:rFonts w:ascii="Arial" w:hAnsi="Arial" w:eastAsia="Arial" w:cs="Arial"/>
      <w:color w:val="202A3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before="0" w:after="60" w:line="264" w:lineRule="auto"/>
      <w:ind w:left="432" w:hanging="245"/>
      <w:contextualSpacing/>
    </w:pPr>
    <w:rPr>
      <w:rFonts w:ascii="Arial" w:hAnsi="Arial" w:eastAsia="Arial" w:cs="Arial"/>
      <w:color w:val="202A35"/>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SSTitle">
    <w:name w:val="USS Title"/>
    <w:pPr>
      <w:keepNext/>
      <w:widowControl/>
      <w:spacing w:before="0" w:after="40" w:line="240" w:lineRule="auto"/>
      <w:jc w:val="left"/>
    </w:pPr>
    <w:rPr>
      <w:rFonts w:ascii="Arial" w:hAnsi="Arial" w:eastAsia="Arial" w:cs="Arial"/>
      <w:b/>
      <w:color w:val="17263A"/>
      <w:sz w:val="50"/>
    </w:rPr>
  </w:style>
  <w:style w:type="paragraph" w:customStyle="1" w:styleId="USSSubtitle">
    <w:name w:val="USS Subtitle"/>
    <w:pPr>
      <w:keepNext/>
      <w:widowControl/>
      <w:spacing w:before="0" w:after="400" w:line="240" w:lineRule="auto"/>
      <w:jc w:val="left"/>
    </w:pPr>
    <w:rPr>
      <w:rFonts w:ascii="Arial" w:hAnsi="Arial" w:eastAsia="Arial" w:cs="Arial"/>
      <w:color w:val="145DA0"/>
      <w:sz w:val="27"/>
    </w:rPr>
  </w:style>
  <w:style w:type="paragraph" w:customStyle="1" w:styleId="USSPanelCompany">
    <w:name w:val="USS Panel Company"/>
    <w:pPr>
      <w:keepNext w:val="0"/>
      <w:widowControl/>
      <w:spacing w:before="0" w:after="40" w:line="240" w:lineRule="auto"/>
      <w:jc w:val="left"/>
    </w:pPr>
    <w:rPr>
      <w:rFonts w:ascii="Arial" w:hAnsi="Arial" w:eastAsia="Arial" w:cs="Arial"/>
      <w:b/>
      <w:color w:val="17263A"/>
      <w:sz w:val="23"/>
    </w:rPr>
  </w:style>
  <w:style w:type="paragraph" w:customStyle="1" w:styleId="USSPanel">
    <w:name w:val="USS Panel"/>
    <w:pPr>
      <w:keepNext w:val="0"/>
      <w:widowControl/>
      <w:spacing w:before="0" w:after="0" w:line="259" w:lineRule="auto"/>
      <w:jc w:val="left"/>
    </w:pPr>
    <w:rPr>
      <w:rFonts w:ascii="Arial" w:hAnsi="Arial" w:eastAsia="Arial" w:cs="Arial"/>
      <w:color w:val="202A35"/>
      <w:sz w:val="19"/>
    </w:rPr>
  </w:style>
  <w:style w:type="paragraph" w:customStyle="1" w:styleId="USSPanelDate">
    <w:name w:val="USS Panel Date"/>
    <w:pPr>
      <w:keepNext w:val="0"/>
      <w:widowControl/>
      <w:spacing w:before="0" w:after="0" w:line="240" w:lineRule="auto"/>
      <w:jc w:val="left"/>
    </w:pPr>
    <w:rPr>
      <w:rFonts w:ascii="Arial" w:hAnsi="Arial" w:eastAsia="Arial" w:cs="Arial"/>
      <w:b/>
      <w:color w:val="17263A"/>
      <w:sz w:val="19"/>
    </w:rPr>
  </w:style>
  <w:style w:type="paragraph" w:customStyle="1" w:styleId="USSSalutation">
    <w:name w:val="USS Salutation"/>
    <w:pPr>
      <w:keepNext w:val="0"/>
      <w:widowControl/>
      <w:spacing w:before="0" w:after="120" w:line="264" w:lineRule="auto"/>
      <w:jc w:val="left"/>
    </w:pPr>
    <w:rPr>
      <w:rFonts w:ascii="Arial" w:hAnsi="Arial" w:eastAsia="Arial" w:cs="Arial"/>
      <w:color w:val="202A35"/>
      <w:sz w:val="19"/>
    </w:rPr>
  </w:style>
  <w:style w:type="paragraph" w:customStyle="1" w:styleId="USSBody">
    <w:name w:val="USS Body"/>
    <w:pPr>
      <w:keepNext w:val="0"/>
      <w:widowControl/>
      <w:spacing w:before="0" w:after="120" w:line="264" w:lineRule="auto"/>
      <w:jc w:val="both"/>
    </w:pPr>
    <w:rPr>
      <w:rFonts w:ascii="Arial" w:hAnsi="Arial" w:eastAsia="Arial" w:cs="Arial"/>
      <w:color w:val="202A35"/>
      <w:sz w:val="19"/>
    </w:rPr>
  </w:style>
  <w:style w:type="paragraph" w:customStyle="1" w:styleId="USSLead">
    <w:name w:val="USS Lead"/>
    <w:pPr>
      <w:keepNext w:val="0"/>
      <w:widowControl/>
      <w:spacing w:before="0" w:after="160" w:line="269" w:lineRule="auto"/>
      <w:jc w:val="left"/>
    </w:pPr>
    <w:rPr>
      <w:rFonts w:ascii="Arial" w:hAnsi="Arial" w:eastAsia="Arial" w:cs="Arial"/>
      <w:b/>
      <w:color w:val="17263A"/>
      <w:sz w:val="20"/>
    </w:rPr>
  </w:style>
  <w:style w:type="paragraph" w:customStyle="1" w:styleId="USSH1">
    <w:name w:val="USS H1"/>
    <w:pPr>
      <w:keepNext/>
      <w:widowControl/>
      <w:spacing w:before="80" w:after="200" w:line="252" w:lineRule="auto"/>
      <w:jc w:val="left"/>
    </w:pPr>
    <w:rPr>
      <w:rFonts w:ascii="Arial" w:hAnsi="Arial" w:eastAsia="Arial" w:cs="Arial"/>
      <w:b/>
      <w:color w:val="17263A"/>
      <w:sz w:val="30"/>
    </w:rPr>
  </w:style>
  <w:style w:type="paragraph" w:customStyle="1" w:styleId="USSH2">
    <w:name w:val="USS H2"/>
    <w:pPr>
      <w:keepNext/>
      <w:widowControl/>
      <w:spacing w:before="160" w:after="100" w:line="252" w:lineRule="auto"/>
      <w:jc w:val="left"/>
    </w:pPr>
    <w:rPr>
      <w:rFonts w:ascii="Arial" w:hAnsi="Arial" w:eastAsia="Arial" w:cs="Arial"/>
      <w:b/>
      <w:color w:val="145DA0"/>
      <w:sz w:val="22"/>
    </w:rPr>
  </w:style>
  <w:style w:type="paragraph" w:customStyle="1" w:styleId="USSTableGroup">
    <w:name w:val="USS Table Group"/>
    <w:pPr>
      <w:keepNext w:val="0"/>
      <w:widowControl/>
      <w:spacing w:before="0" w:after="0" w:line="259" w:lineRule="auto"/>
      <w:jc w:val="left"/>
    </w:pPr>
    <w:rPr>
      <w:rFonts w:ascii="Arial" w:hAnsi="Arial" w:eastAsia="Arial" w:cs="Arial"/>
      <w:b/>
      <w:color w:val="FFFFFF"/>
      <w:sz w:val="21"/>
    </w:rPr>
  </w:style>
  <w:style w:type="paragraph" w:customStyle="1" w:styleId="USSTableService">
    <w:name w:val="USS Table Service"/>
    <w:pPr>
      <w:keepNext w:val="0"/>
      <w:widowControl/>
      <w:spacing w:before="0" w:after="0" w:line="266" w:lineRule="auto"/>
      <w:jc w:val="left"/>
    </w:pPr>
    <w:rPr>
      <w:rFonts w:ascii="Arial" w:hAnsi="Arial" w:eastAsia="Arial" w:cs="Arial"/>
      <w:color w:val="202A35"/>
      <w:sz w:val="19"/>
    </w:rPr>
  </w:style>
  <w:style w:type="paragraph" w:customStyle="1" w:styleId="USSTableFee">
    <w:name w:val="USS Table Fee"/>
    <w:pPr>
      <w:keepNext w:val="0"/>
      <w:widowControl/>
      <w:spacing w:before="0" w:after="0" w:line="252" w:lineRule="auto"/>
      <w:jc w:val="right"/>
    </w:pPr>
    <w:rPr>
      <w:rFonts w:ascii="Arial" w:hAnsi="Arial" w:eastAsia="Arial" w:cs="Arial"/>
      <w:b/>
      <w:color w:val="17263A"/>
      <w:sz w:val="19"/>
    </w:rPr>
  </w:style>
  <w:style w:type="paragraph" w:customStyle="1" w:styleId="USSSignatureLabel">
    <w:name w:val="USS Signature Label"/>
    <w:pPr>
      <w:keepNext w:val="0"/>
      <w:widowControl/>
      <w:spacing w:before="0" w:after="100" w:line="240" w:lineRule="auto"/>
      <w:jc w:val="left"/>
    </w:pPr>
    <w:rPr>
      <w:rFonts w:ascii="Arial" w:hAnsi="Arial" w:eastAsia="Arial" w:cs="Arial"/>
      <w:b/>
      <w:color w:val="17263A"/>
      <w:sz w:val="19"/>
    </w:rPr>
  </w:style>
  <w:style w:type="paragraph" w:customStyle="1" w:styleId="USSSignature">
    <w:name w:val="USS Signature"/>
    <w:pPr>
      <w:keepNext w:val="0"/>
      <w:widowControl/>
      <w:spacing w:before="0" w:after="20" w:line="240" w:lineRule="auto"/>
      <w:jc w:val="left"/>
    </w:pPr>
    <w:rPr>
      <w:rFonts w:ascii="Arial" w:hAnsi="Arial" w:eastAsia="Arial" w:cs="Arial"/>
      <w:color w:val="202A35"/>
      <w:sz w:val="19"/>
    </w:rPr>
  </w:style>
  <w:style w:type="paragraph" w:customStyle="1" w:styleId="USSSmall">
    <w:name w:val="USS Small"/>
    <w:pPr>
      <w:keepNext w:val="0"/>
      <w:widowControl/>
      <w:spacing w:before="0" w:after="0" w:line="240" w:lineRule="auto"/>
      <w:jc w:val="left"/>
    </w:pPr>
    <w:rPr>
      <w:rFonts w:ascii="Arial" w:hAnsi="Arial" w:eastAsia="Arial" w:cs="Arial"/>
      <w:color w:val="5F6B78"/>
      <w:sz w:val="16"/>
    </w:rPr>
  </w:style>
  <w:style w:type="paragraph" w:customStyle="1" w:styleId="USSFooter">
    <w:name w:val="USS Footer"/>
    <w:pPr>
      <w:keepNext w:val="0"/>
      <w:widowControl/>
      <w:spacing w:before="0" w:after="0" w:line="240" w:lineRule="auto"/>
      <w:jc w:val="left"/>
    </w:pPr>
    <w:rPr>
      <w:rFonts w:ascii="Arial" w:hAnsi="Arial" w:eastAsia="Arial" w:cs="Arial"/>
      <w:color w:val="5F6B78"/>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lient xmlns="urn:uss:client-template">
  <company>Beyond Space Capital Inc</company>
  <honorific>Mr.</honorific>
  <firstName>Michael</firstName>
  <lastName>John</lastName>
  <careOfLine>c/o Buhler Duggal &amp; Henry LLP</careOfLine>
  <streetLine>80 Eighth Avenue, Suite 901</streetLine>
  <cityStateZip>New York, NY 10011</cityStateZip>
  <email>john@beyondcapital.space</email>
  <taxYearEnd>December 31, 2025</taxYearEnd>
</client>
</file>

<file path=customXml/itemProps1.xml><?xml version="1.0" encoding="utf-8"?>
<ds:datastoreItem xmlns:ds="http://schemas.openxmlformats.org/officeDocument/2006/customXml" ds:itemID="{DDEA5B46-24AD-4656-AE85-7295C9384617}">
  <ds:schemaRefs>
    <ds:schemaRef ds:uri="urn:uss:client-templat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Letter for Beyond Space Capital Inc</dc:title>
  <dc:subject>Client document</dc:subject>
  <dc:creator>U.S. Steuerberatung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